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项目名称：核酸分子杂交仪</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项目编号：BSRMYY-YNCG-2024-06002</w:t>
      </w:r>
      <w:bookmarkStart w:id="31" w:name="_GoBack"/>
      <w:bookmarkEnd w:id="31"/>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核酸分子杂交仪</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1、反应体系：5-100μl</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2、适用探针/染料：FAM</w:t>
            </w:r>
            <w:r>
              <w:rPr>
                <w:rFonts w:hint="eastAsia" w:ascii="Times New Roman" w:hAnsi="Times New Roman" w:eastAsia="仿宋" w:cs="Times New Roman"/>
                <w:lang w:eastAsia="zh-CN"/>
              </w:rPr>
              <w:t>，</w:t>
            </w:r>
            <w:r>
              <w:rPr>
                <w:rFonts w:hint="eastAsia" w:ascii="Times New Roman" w:hAnsi="Times New Roman" w:eastAsia="仿宋" w:cs="Times New Roman"/>
              </w:rPr>
              <w:t>SYBR</w:t>
            </w:r>
            <w:r>
              <w:rPr>
                <w:rFonts w:hint="eastAsia" w:ascii="Times New Roman" w:hAnsi="Times New Roman" w:eastAsia="仿宋" w:cs="Times New Roman"/>
                <w:lang w:eastAsia="zh-CN"/>
              </w:rPr>
              <w:t>，</w:t>
            </w:r>
            <w:r>
              <w:rPr>
                <w:rFonts w:hint="eastAsia" w:ascii="Times New Roman" w:hAnsi="Times New Roman" w:eastAsia="仿宋" w:cs="Times New Roman"/>
              </w:rPr>
              <w:t>Green</w:t>
            </w:r>
            <w:r>
              <w:rPr>
                <w:rFonts w:hint="eastAsia" w:ascii="Times New Roman" w:hAnsi="Times New Roman" w:eastAsia="仿宋" w:cs="Times New Roman"/>
                <w:lang w:eastAsia="zh-CN"/>
              </w:rPr>
              <w:t>，</w:t>
            </w:r>
            <w:r>
              <w:rPr>
                <w:rFonts w:hint="eastAsia" w:ascii="Times New Roman" w:hAnsi="Times New Roman" w:eastAsia="仿宋" w:cs="Times New Roman"/>
              </w:rPr>
              <w:t>IVIC</w:t>
            </w:r>
            <w:r>
              <w:rPr>
                <w:rFonts w:hint="eastAsia" w:ascii="Times New Roman" w:hAnsi="Times New Roman" w:eastAsia="仿宋" w:cs="Times New Roman"/>
                <w:lang w:eastAsia="zh-CN"/>
              </w:rPr>
              <w:t>，</w:t>
            </w:r>
            <w:r>
              <w:rPr>
                <w:rFonts w:hint="eastAsia" w:ascii="Times New Roman" w:hAnsi="Times New Roman" w:eastAsia="仿宋" w:cs="Times New Roman"/>
              </w:rPr>
              <w:t>HEX</w:t>
            </w:r>
            <w:r>
              <w:rPr>
                <w:rFonts w:hint="eastAsia" w:ascii="Times New Roman" w:hAnsi="Times New Roman" w:eastAsia="仿宋" w:cs="Times New Roman"/>
                <w:lang w:eastAsia="zh-CN"/>
              </w:rPr>
              <w:t>，</w:t>
            </w:r>
            <w:r>
              <w:rPr>
                <w:rFonts w:hint="eastAsia" w:ascii="Times New Roman" w:hAnsi="Times New Roman" w:eastAsia="仿宋" w:cs="Times New Roman"/>
              </w:rPr>
              <w:t>TET</w:t>
            </w:r>
            <w:r>
              <w:rPr>
                <w:rFonts w:hint="eastAsia" w:ascii="Times New Roman" w:hAnsi="Times New Roman" w:eastAsia="仿宋" w:cs="Times New Roman"/>
                <w:lang w:eastAsia="zh-CN"/>
              </w:rPr>
              <w:t>，</w:t>
            </w:r>
            <w:r>
              <w:rPr>
                <w:rFonts w:hint="eastAsia" w:ascii="Times New Roman" w:hAnsi="Times New Roman" w:eastAsia="仿宋" w:cs="Times New Roman"/>
              </w:rPr>
              <w:t>JOE</w:t>
            </w:r>
            <w:r>
              <w:rPr>
                <w:rFonts w:hint="eastAsia" w:ascii="Times New Roman" w:hAnsi="Times New Roman" w:eastAsia="仿宋" w:cs="Times New Roman"/>
                <w:lang w:eastAsia="zh-CN"/>
              </w:rPr>
              <w:t>，</w:t>
            </w:r>
            <w:r>
              <w:rPr>
                <w:rFonts w:hint="eastAsia" w:ascii="Times New Roman" w:hAnsi="Times New Roman" w:eastAsia="仿宋" w:cs="Times New Roman"/>
              </w:rPr>
              <w:t>Cy3</w:t>
            </w:r>
            <w:r>
              <w:rPr>
                <w:rFonts w:hint="eastAsia" w:ascii="Times New Roman" w:hAnsi="Times New Roman" w:eastAsia="仿宋" w:cs="Times New Roman"/>
                <w:lang w:eastAsia="zh-CN"/>
              </w:rPr>
              <w:t>，</w:t>
            </w:r>
            <w:r>
              <w:rPr>
                <w:rFonts w:hint="eastAsia" w:ascii="Times New Roman" w:hAnsi="Times New Roman" w:eastAsia="仿宋" w:cs="Times New Roman"/>
              </w:rPr>
              <w:t>TAMRA</w:t>
            </w:r>
            <w:r>
              <w:rPr>
                <w:rFonts w:hint="eastAsia" w:ascii="Times New Roman" w:hAnsi="Times New Roman" w:eastAsia="仿宋" w:cs="Times New Roman"/>
                <w:lang w:eastAsia="zh-CN"/>
              </w:rPr>
              <w:t>，</w:t>
            </w:r>
            <w:r>
              <w:rPr>
                <w:rFonts w:hint="eastAsia" w:ascii="Times New Roman" w:hAnsi="Times New Roman" w:eastAsia="仿宋" w:cs="Times New Roman"/>
              </w:rPr>
              <w:t>ROX</w:t>
            </w:r>
            <w:r>
              <w:rPr>
                <w:rFonts w:hint="eastAsia" w:ascii="Times New Roman" w:hAnsi="Times New Roman" w:eastAsia="仿宋" w:cs="Times New Roman"/>
                <w:lang w:eastAsia="zh-CN"/>
              </w:rPr>
              <w:t>，</w:t>
            </w:r>
            <w:r>
              <w:rPr>
                <w:rFonts w:hint="eastAsia" w:ascii="Times New Roman" w:hAnsi="Times New Roman" w:eastAsia="仿宋" w:cs="Times New Roman"/>
              </w:rPr>
              <w:t>TEXAS，-RED，Cy5</w:t>
            </w:r>
            <w:r>
              <w:rPr>
                <w:rFonts w:hint="eastAsia" w:ascii="Times New Roman" w:hAnsi="Times New Roman" w:eastAsia="仿宋" w:cs="Times New Roman"/>
                <w:lang w:eastAsia="zh-CN"/>
              </w:rPr>
              <w:t>，</w:t>
            </w:r>
            <w:r>
              <w:rPr>
                <w:rFonts w:hint="eastAsia" w:ascii="Times New Roman" w:hAnsi="Times New Roman" w:eastAsia="仿宋" w:cs="Times New Roman"/>
              </w:rPr>
              <w:t>Quasar -670</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3、模块控温精度：≤0.5℃</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4、温度准确度：≤0.5℃</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5、热盖温控精度：105℃±5℃</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6、接口方式：支持USB数据接口</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7、操作系统：Windows7及以上</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8、设备主要配置</w:t>
            </w:r>
            <w:r>
              <w:rPr>
                <w:rFonts w:hint="eastAsia" w:ascii="Times New Roman" w:hAnsi="Times New Roman" w:eastAsia="仿宋" w:cs="Times New Roman"/>
              </w:rPr>
              <w:t>：主机1台，电源线1根</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1台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u w:val="single"/>
                <w:lang w:val="en-US" w:eastAsia="zh-CN"/>
              </w:rPr>
              <w:t>5</w:t>
            </w:r>
            <w:r>
              <w:rPr>
                <w:rFonts w:hint="eastAsia"/>
                <w:u w:val="single"/>
              </w:rPr>
              <w:t>年</w:t>
            </w:r>
            <w:r>
              <w:rPr>
                <w:rFonts w:hint="eastAsia"/>
              </w:rPr>
              <w:t>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核酸分子杂交仪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default" w:ascii="仿宋" w:hAnsi="仿宋" w:eastAsia="仿宋" w:cs="仿宋"/>
                <w:b/>
                <w:bCs/>
                <w:i w:val="0"/>
                <w:caps w:val="0"/>
                <w:color w:val="555555"/>
                <w:spacing w:val="0"/>
                <w:kern w:val="0"/>
                <w:sz w:val="24"/>
                <w:szCs w:val="24"/>
                <w:lang w:val="en-US" w:eastAsia="zh-CN" w:bidi="ar"/>
              </w:rPr>
              <w:t>2.若设备涉及专机专用耗材请单独报价，并作出重庆市最低价承诺，供采购人参考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5017342"/>
      <w:bookmarkStart w:id="3" w:name="_Toc156730450"/>
      <w:bookmarkStart w:id="4" w:name="_Toc173677397"/>
      <w:bookmarkStart w:id="5" w:name="_Toc128229745"/>
      <w:bookmarkStart w:id="6" w:name="_Toc128229916"/>
      <w:bookmarkStart w:id="7" w:name="_Toc166549448"/>
      <w:bookmarkStart w:id="8" w:name="_Toc156196559"/>
      <w:bookmarkStart w:id="9" w:name="_Toc156815770"/>
      <w:bookmarkStart w:id="10" w:name="_Toc156196470"/>
      <w:bookmarkStart w:id="11" w:name="_Toc166139912"/>
      <w:bookmarkStart w:id="12" w:name="_Toc128229302"/>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66139913"/>
      <w:bookmarkStart w:id="14" w:name="_Toc128229917"/>
      <w:bookmarkStart w:id="15" w:name="_Toc156196471"/>
      <w:bookmarkStart w:id="16" w:name="_Toc156815771"/>
      <w:bookmarkStart w:id="17" w:name="_Toc166549449"/>
      <w:bookmarkStart w:id="18" w:name="_Toc128229303"/>
      <w:bookmarkStart w:id="19" w:name="_Toc156196560"/>
      <w:bookmarkStart w:id="20" w:name="_Toc175017343"/>
      <w:bookmarkStart w:id="21" w:name="_Toc173677398"/>
      <w:bookmarkStart w:id="22" w:name="_Toc156730451"/>
      <w:bookmarkStart w:id="23" w:name="_Toc128229746"/>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237057793"/>
      <w:bookmarkStart w:id="25" w:name="_Toc175017344"/>
      <w:bookmarkStart w:id="26" w:name="_Toc173677399"/>
      <w:bookmarkStart w:id="27" w:name="_Toc128014297"/>
      <w:bookmarkStart w:id="28" w:name="_Toc128229304"/>
      <w:bookmarkStart w:id="29" w:name="_Toc156196472"/>
      <w:bookmarkStart w:id="30" w:name="_Toc128229747"/>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9CB54ED"/>
    <w:rsid w:val="0AA5051E"/>
    <w:rsid w:val="0C872834"/>
    <w:rsid w:val="0CE64C8D"/>
    <w:rsid w:val="0FD01451"/>
    <w:rsid w:val="11A36323"/>
    <w:rsid w:val="122D0B62"/>
    <w:rsid w:val="13D33876"/>
    <w:rsid w:val="1922346A"/>
    <w:rsid w:val="1AF86BE0"/>
    <w:rsid w:val="1BDE0896"/>
    <w:rsid w:val="1C6D0063"/>
    <w:rsid w:val="1CF00EFC"/>
    <w:rsid w:val="1ED60F8E"/>
    <w:rsid w:val="21426D4A"/>
    <w:rsid w:val="236757CC"/>
    <w:rsid w:val="23932B03"/>
    <w:rsid w:val="240F0EF6"/>
    <w:rsid w:val="26650BFA"/>
    <w:rsid w:val="269E144C"/>
    <w:rsid w:val="283C02E8"/>
    <w:rsid w:val="2AB22886"/>
    <w:rsid w:val="2FC44243"/>
    <w:rsid w:val="33FB61AD"/>
    <w:rsid w:val="34533315"/>
    <w:rsid w:val="376E6279"/>
    <w:rsid w:val="37BD1FA3"/>
    <w:rsid w:val="39692732"/>
    <w:rsid w:val="41392044"/>
    <w:rsid w:val="482D6FF9"/>
    <w:rsid w:val="496140CE"/>
    <w:rsid w:val="4A685043"/>
    <w:rsid w:val="4AE139DB"/>
    <w:rsid w:val="4BDB0A24"/>
    <w:rsid w:val="4C1534EB"/>
    <w:rsid w:val="4C31315D"/>
    <w:rsid w:val="4DFC7547"/>
    <w:rsid w:val="4F8A7274"/>
    <w:rsid w:val="57F90B3E"/>
    <w:rsid w:val="585C7EC3"/>
    <w:rsid w:val="5AA466C2"/>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7</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2024-05-29T01:54:00Z</cp:lastPrinted>
  <dcterms:modified xsi:type="dcterms:W3CDTF">2024-06-03T09:19:22Z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974C04671FC3487B9BD750F3F5B39BF6</vt:lpwstr>
  </property>
</Properties>
</file>